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mark.png" ContentType="image/png"/>
  <Default Extension="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Document Master</w:t>
      </w:r>
    </w:p>
    <w:p>
      <w:pPr>
        <w:pStyle w:val="Subtitle"/>
      </w:pPr>
      <w:r>
        <w:t xml:space="preserve">The SnowOps template for reports, proposals and handover guides</w:t>
      </w:r>
    </w:p>
    <w:p>
      <w:pPr>
        <w:pStyle w:val="Author"/>
      </w:pPr>
      <w:r>
        <w:t xml:space="preserve">SnowOps · brand system “Signal”</w:t>
      </w:r>
    </w:p>
    <w:p>
      <w:pPr>
        <w:pStyle w:val="Date"/>
      </w:pPr>
      <w:r>
        <w:t xml:space="preserve">⟨Date⟩</w:t>
      </w:r>
    </w:p>
    <w:p>
      <w:pPr>
        <w:pStyle w:val="Lede"/>
      </w:pPr>
      <w:r>
        <w:t xml:space="preserve">This file is the master for every long-form document SnowOps hands a client. Duplicate it, delete the guidance sections, and write. Every style you need is already defined — never restyle by hand.</w:t>
      </w:r>
    </w:p>
    <w:bookmarkStart w:id="51" w:name="how-to-use-this-master"/>
    <w:p>
      <w:pPr>
        <w:pStyle w:val="Heading1"/>
      </w:pPr>
      <w:r>
        <w:t xml:space="preserve">How to use this master</w:t>
      </w:r>
    </w:p>
    <w:p>
      <w:pPr>
        <w:pStyle w:val="FirstParagraph"/>
      </w:pPr>
      <w:r>
        <w:t xml:space="preserve">Open this file in</w:t>
      </w:r>
      <w:r>
        <w:t xml:space="preserve"> </w:t>
      </w:r>
      <w:r>
        <w:rPr>
          <w:b/>
          <w:bCs/>
        </w:rPr>
        <w:t xml:space="preserve">Google Docs</w:t>
      </w:r>
      <w:r>
        <w:t xml:space="preserve"> </w:t>
      </w:r>
      <w:r>
        <w:t xml:space="preserve">(Drive → upload → Open with Google Docs) or import it into</w:t>
      </w:r>
      <w:r>
        <w:t xml:space="preserve"> </w:t>
      </w:r>
      <w:r>
        <w:rPr>
          <w:b/>
          <w:bCs/>
        </w:rPr>
        <w:t xml:space="preserve">Canva Docs</w:t>
      </w:r>
      <w:r>
        <w:t xml:space="preserve">. Then: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Duplicate it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File → Make a copy</w:t>
      </w:r>
      <w:r>
        <w:t xml:space="preserve"> </w:t>
      </w:r>
      <w:r>
        <w:t xml:space="preserve">— one copy per client document. Never edit the master itself.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Write with styles, not formatting.</w:t>
      </w:r>
      <w:r>
        <w:t xml:space="preserve"> </w:t>
      </w:r>
      <w:r>
        <w:t xml:space="preserve">Pick a paragraph style from the style dropdown (Title, Heading 1–4, Body Text, Key Takeaway, CTA, Source Code). Do not bold/resize text manually — the styles carry the brand, and hand-formatting is what makes documents drift off-brand.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Replace every ⟨placeholder⟩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⟨Client⟩</w:t>
      </w:r>
      <w:r>
        <w:t xml:space="preserve">,</w:t>
      </w:r>
      <w:r>
        <w:t xml:space="preserve"> </w:t>
      </w:r>
      <w:r>
        <w:rPr>
          <w:rStyle w:val="VerbatimChar"/>
        </w:rPr>
        <w:t xml:space="preserve">⟨Date⟩</w:t>
      </w:r>
      <w:r>
        <w:t xml:space="preserve">,</w:t>
      </w:r>
      <w:r>
        <w:t xml:space="preserve"> </w:t>
      </w:r>
      <w:r>
        <w:rPr>
          <w:rStyle w:val="VerbatimChar"/>
        </w:rPr>
        <w:t xml:space="preserve">⟨Scope⟩</w:t>
      </w:r>
      <w:r>
        <w:t xml:space="preserve">. Search for</w:t>
      </w:r>
      <w:r>
        <w:t xml:space="preserve"> </w:t>
      </w:r>
      <w:r>
        <w:rPr>
          <w:rStyle w:val="VerbatimChar"/>
        </w:rPr>
        <w:t xml:space="preserve">⟨</w:t>
      </w:r>
      <w:r>
        <w:t xml:space="preserve"> </w:t>
      </w:r>
      <w:r>
        <w:t xml:space="preserve">before sending; a stray placeholder in a client document is a credibility hit.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Fonts:</w:t>
      </w:r>
      <w:r>
        <w:t xml:space="preserve"> </w:t>
      </w:r>
      <w:r>
        <w:t xml:space="preserve">IBM Plex Sans (text) and IBM Plex Mono (code, paths, footers). Both are free and available in Google Docs and Canva. If text arrives as a generic sans, set the document font to IBM Plex Sans once.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Export as PDF</w:t>
      </w:r>
      <w:r>
        <w:t xml:space="preserve"> </w:t>
      </w:r>
      <w:r>
        <w:t xml:space="preserve">to send. Clients receive PDFs, not editable files.</w:t>
      </w:r>
    </w:p>
    <w:bookmarkStart w:id="50" w:name="which-documents-use-this-master"/>
    <w:p>
      <w:pPr>
        <w:pStyle w:val="Heading2"/>
      </w:pPr>
      <w:r>
        <w:t xml:space="preserve">Which documents use this master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cnfStyle w:firstRow="1" w:val="100000000000"/>
          <w:tblHeader/>
          <w:tblHeader w:val="on"/>
        </w:trPr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Document</w:t>
            </w:r>
          </w:p>
        </w:tc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Asset</w:t>
            </w:r>
          </w:p>
        </w:tc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Discovery Audit report</w:t>
            </w:r>
          </w:p>
        </w:tc>
        <w:tc>
          <w:tcPr/>
          <w:p>
            <w:pPr>
              <w:pStyle w:val="Compact"/>
            </w:pPr>
            <w:r>
              <w:t xml:space="preserve">PA08</w:t>
            </w:r>
          </w:p>
        </w:tc>
        <w:tc>
          <w:tcPr/>
          <w:p>
            <w:pPr>
              <w:pStyle w:val="Compact"/>
            </w:pPr>
            <w:r>
              <w:t xml:space="preserve">Auto-generated — this master is the theme, not the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Sanitized sample audit</w:t>
            </w:r>
          </w:p>
        </w:tc>
        <w:tc>
          <w:tcPr/>
          <w:p>
            <w:pPr>
              <w:pStyle w:val="Compact"/>
            </w:pPr>
            <w:r>
              <w:t xml:space="preserve">PA09</w:t>
            </w:r>
          </w:p>
        </w:tc>
        <w:tc>
          <w:tcPr/>
          <w:p>
            <w:pPr>
              <w:pStyle w:val="Compact"/>
            </w:pPr>
            <w:r>
              <w:t xml:space="preserve">Hand-built from this master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Proposal / SOW</w:t>
            </w:r>
          </w:p>
        </w:tc>
        <w:tc>
          <w:tcPr/>
          <w:p>
            <w:pPr>
              <w:pStyle w:val="Compact"/>
            </w:pPr>
            <w:r>
              <w:t xml:space="preserve">PA10</w:t>
            </w:r>
          </w:p>
        </w:tc>
        <w:tc>
          <w:tcPr/>
          <w:p>
            <w:pPr>
              <w:pStyle w:val="Compact"/>
            </w:pPr>
            <w:r>
              <w:t xml:space="preserve">Structure only — no dollar figures until finalized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Findings-to-roadmap</w:t>
            </w:r>
          </w:p>
        </w:tc>
        <w:tc>
          <w:tcPr/>
          <w:p>
            <w:pPr>
              <w:pStyle w:val="Compact"/>
            </w:pPr>
            <w:r>
              <w:t xml:space="preserve">PA11</w:t>
            </w:r>
          </w:p>
        </w:tc>
        <w:tc>
          <w:tcPr/>
          <w:p>
            <w:pPr>
              <w:pStyle w:val="Compact"/>
            </w:pPr>
            <w:r>
              <w:t xml:space="preserve">Hand-built from this master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Milestone handover guides</w:t>
            </w:r>
          </w:p>
        </w:tc>
        <w:tc>
          <w:tcPr/>
          <w:p>
            <w:pPr>
              <w:pStyle w:val="Compact"/>
            </w:pPr>
            <w:r>
              <w:t xml:space="preserve">PA19</w:t>
            </w:r>
          </w:p>
        </w:tc>
        <w:tc>
          <w:tcPr/>
          <w:p>
            <w:pPr>
              <w:pStyle w:val="Compact"/>
            </w:pPr>
            <w:r>
              <w:t xml:space="preserve">Hand-built from this master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Offboarding / exit pack</w:t>
            </w:r>
          </w:p>
        </w:tc>
        <w:tc>
          <w:tcPr/>
          <w:p>
            <w:pPr>
              <w:pStyle w:val="Compact"/>
            </w:pPr>
            <w:r>
              <w:t xml:space="preserve">PA26</w:t>
            </w:r>
          </w:p>
        </w:tc>
        <w:tc>
          <w:tcPr/>
          <w:p>
            <w:pPr>
              <w:pStyle w:val="Compact"/>
            </w:pPr>
            <w:r>
              <w:t xml:space="preserve">Hand-built from this master</w:t>
            </w:r>
          </w:p>
        </w:tc>
      </w:tr>
    </w:tbl>
    <w:p>
      <w:pPr>
        <w:pStyle w:val="KeyTakeaway"/>
      </w:pPr>
      <w:r>
        <w:t xml:space="preserve">The Discovery Audit report is generated by</w:t>
      </w:r>
      <w:r>
        <w:t xml:space="preserve"> </w:t>
      </w:r>
      <w:r>
        <w:rPr>
          <w:rStyle w:val="VerbatimChar"/>
        </w:rPr>
        <w:t xml:space="preserve">apps/discovery-auditor</w:t>
      </w:r>
      <w:r>
        <w:t xml:space="preserve">, not written by hand. To restyle it, change the theme (</w:t>
      </w:r>
      <w:r>
        <w:rPr>
          <w:rStyle w:val="VerbatimChar"/>
        </w:rPr>
        <w:t xml:space="preserve">snowops-doc-reference.docx</w:t>
      </w:r>
      <w:r>
        <w:t xml:space="preserve">) — never the output.</w:t>
      </w:r>
    </w:p>
    <w:bookmarkEnd w:id="50"/>
    <w:bookmarkEnd w:id="51"/>
    <w:bookmarkStart w:id="55" w:name="the-rules-that-govern-every-document"/>
    <w:p>
      <w:pPr>
        <w:pStyle w:val="Heading1"/>
      </w:pPr>
      <w:r>
        <w:t xml:space="preserve">The rules that govern every document</w:t>
      </w:r>
    </w:p>
    <w:bookmarkStart w:id="52" w:name="claims"/>
    <w:p>
      <w:pPr>
        <w:pStyle w:val="Heading2"/>
      </w:pPr>
      <w:r>
        <w:t xml:space="preserve">Claims</w:t>
      </w:r>
    </w:p>
    <w:p>
      <w:pPr>
        <w:pStyle w:val="FirstParagraph"/>
      </w:pPr>
      <w:r>
        <w:t xml:space="preserve">SnowOps sells to companies in or near an audit, so over-claiming is an existential risk. Never write “guaranteed certification”, “we make you SOC 2 compliant”, “pass your audit guaranteed”, or “compliance-as-a-service”. Write</w:t>
      </w:r>
      <w:r>
        <w:t xml:space="preserve"> </w:t>
      </w:r>
      <w:r>
        <w:rPr>
          <w:b/>
          <w:bCs/>
        </w:rPr>
        <w:t xml:space="preserve">audit-ready</w:t>
      </w:r>
      <w:r>
        <w:t xml:space="preserve">,</w:t>
      </w:r>
      <w:r>
        <w:t xml:space="preserve"> </w:t>
      </w:r>
      <w:r>
        <w:rPr>
          <w:b/>
          <w:bCs/>
        </w:rPr>
        <w:t xml:space="preserve">audit-defensible</w:t>
      </w:r>
      <w:r>
        <w:t xml:space="preserve">,</w:t>
      </w:r>
      <w:r>
        <w:t xml:space="preserve"> </w:t>
      </w:r>
      <w:r>
        <w:rPr>
          <w:b/>
          <w:bCs/>
        </w:rPr>
        <w:t xml:space="preserve">compliant by construction</w:t>
      </w:r>
      <w:r>
        <w:t xml:space="preserve">.</w:t>
      </w:r>
    </w:p>
    <w:p>
      <w:pPr>
        <w:pStyle w:val="BodyText"/>
      </w:pPr>
      <w:r>
        <w:t xml:space="preserve">Anything not yet shipped is tagged</w:t>
      </w:r>
      <w:r>
        <w:t xml:space="preserve"> </w:t>
      </w:r>
      <w:r>
        <w:rPr>
          <w:rStyle w:val="Roadmap"/>
        </w:rPr>
        <w:t xml:space="preserve">(roadmap)</w:t>
      </w:r>
      <w:r>
        <w:t xml:space="preserve"> </w:t>
      </w:r>
      <w:r>
        <w:t xml:space="preserve">— visibly, in the sentence that makes the claim.</w:t>
      </w:r>
      <w:r>
        <w:t xml:space="preserve"> </w:t>
      </w:r>
      <w:r>
        <w:rPr>
          <w:b/>
          <w:bCs/>
        </w:rPr>
        <w:t xml:space="preserve">Nidhi signs off every document that makes a compliance or capability claim before it goes to a client.</w:t>
      </w:r>
    </w:p>
    <w:bookmarkEnd w:id="52"/>
    <w:bookmarkStart w:id="53" w:name="color"/>
    <w:p>
      <w:pPr>
        <w:pStyle w:val="Heading2"/>
      </w:pPr>
      <w:r>
        <w:t xml:space="preserve">Color</w:t>
      </w:r>
    </w:p>
    <w:p>
      <w:pPr>
        <w:pStyle w:val="FirstParagraph"/>
      </w:pPr>
      <w:r>
        <w:t xml:space="preserve">One idea per color. Trust blue carries all structure — headings, table headers, links, callout bars. The Action color (persimmon) is</w:t>
      </w:r>
      <w:r>
        <w:t xml:space="preserve"> </w:t>
      </w:r>
      <w:r>
        <w:rPr>
          <w:b/>
          <w:bCs/>
        </w:rPr>
        <w:t xml:space="preserve">reserved for the single call to action</w:t>
      </w:r>
      <w:r>
        <w:t xml:space="preserve"> </w:t>
      </w:r>
      <w:r>
        <w:t xml:space="preserve">in the document and appears nowhere else; that scarcity is what makes it work. Severity uses only the semantic trio:</w:t>
      </w:r>
      <w:r>
        <w:t xml:space="preserve"> </w:t>
      </w:r>
      <w:r>
        <w:rPr>
          <w:rStyle w:val="Pass"/>
        </w:rPr>
        <w:t xml:space="preserve">PASS</w:t>
      </w:r>
      <w:r>
        <w:t xml:space="preserve">,</w:t>
      </w:r>
      <w:r>
        <w:t xml:space="preserve"> </w:t>
      </w:r>
      <w:r>
        <w:rPr>
          <w:rStyle w:val="Warn"/>
        </w:rPr>
        <w:t xml:space="preserve">WARN</w:t>
      </w:r>
      <w:r>
        <w:t xml:space="preserve">,</w:t>
      </w:r>
      <w:r>
        <w:t xml:space="preserve"> </w:t>
      </w:r>
      <w:r>
        <w:rPr>
          <w:rStyle w:val="Crit"/>
        </w:rPr>
        <w:t xml:space="preserve">CRITICAL</w:t>
      </w:r>
      <w:r>
        <w:t xml:space="preserve">.</w:t>
      </w:r>
    </w:p>
    <w:bookmarkEnd w:id="53"/>
    <w:bookmarkStart w:id="54" w:name="pricing"/>
    <w:p>
      <w:pPr>
        <w:pStyle w:val="Heading2"/>
      </w:pPr>
      <w:r>
        <w:t xml:space="preserve">Pricing</w:t>
      </w:r>
    </w:p>
    <w:p>
      <w:pPr>
        <w:pStyle w:val="FirstParagraph"/>
      </w:pPr>
      <w:r>
        <w:t xml:space="preserve">Pricing</w:t>
      </w:r>
      <w:r>
        <w:t xml:space="preserve"> </w:t>
      </w:r>
      <w:r>
        <w:rPr>
          <w:b/>
          <w:bCs/>
        </w:rPr>
        <w:t xml:space="preserve">structure</w:t>
      </w:r>
      <w:r>
        <w:t xml:space="preserve"> </w:t>
      </w:r>
      <w:r>
        <w:t xml:space="preserve">may appear in any document.</w:t>
      </w:r>
      <w:r>
        <w:t xml:space="preserve"> </w:t>
      </w:r>
      <w:r>
        <w:rPr>
          <w:b/>
          <w:bCs/>
        </w:rPr>
        <w:t xml:space="preserve">Dollar figures may not</w:t>
      </w:r>
      <w:r>
        <w:t xml:space="preserve">, until Sagar has finalized them. Never bake numbers into this master or any copy of it.</w:t>
      </w:r>
    </w:p>
    <w:bookmarkEnd w:id="54"/>
    <w:bookmarkEnd w:id="55"/>
    <w:bookmarkStart w:id="62" w:name="style-gallery"/>
    <w:p>
      <w:pPr>
        <w:pStyle w:val="Heading1"/>
      </w:pPr>
      <w:r>
        <w:t xml:space="preserve">Style gallery</w:t>
      </w:r>
    </w:p>
    <w:p>
      <w:pPr>
        <w:pStyle w:val="FirstParagraph"/>
      </w:pPr>
      <w:r>
        <w:t xml:space="preserve">Everything below is a live example, and each one is named for the style you pick in the dropdown. Copy any block into your document and replace the words.</w:t>
      </w:r>
    </w:p>
    <w:p>
      <w:pPr>
        <w:pStyle w:val="BodyText"/>
      </w:pPr>
      <w:r>
        <w:rPr>
          <w:b/>
          <w:bCs/>
        </w:rPr>
        <w:t xml:space="preserve">Heading 1</w:t>
      </w:r>
      <w:r>
        <w:t xml:space="preserve"> </w:t>
      </w:r>
      <w:r>
        <w:t xml:space="preserve">is the style of this section’s title — a major section opener, with a rule beneath it. Use one per major section and don’t skip levels on the way down.</w:t>
      </w:r>
    </w:p>
    <w:bookmarkStart w:id="58" w:name="heading-2-is-the-workhorse"/>
    <w:p>
      <w:pPr>
        <w:pStyle w:val="Heading2"/>
      </w:pPr>
      <w:r>
        <w:t xml:space="preserve">Heading 2 is the workhorse</w:t>
      </w:r>
    </w:p>
    <w:p>
      <w:pPr>
        <w:pStyle w:val="FirstParagraph"/>
      </w:pPr>
      <w:r>
        <w:t xml:space="preserve">Most structure lives here — one per idea. Body Text is the default beneath it; it sets the reading rhythm, and you should rarely need anything else.</w:t>
      </w:r>
    </w:p>
    <w:bookmarkStart w:id="57" w:name="heading-3-for-a-specific-point"/>
    <w:p>
      <w:pPr>
        <w:pStyle w:val="Heading3"/>
      </w:pPr>
      <w:r>
        <w:t xml:space="preserve">Heading 3 for a specific point</w:t>
      </w:r>
    </w:p>
    <w:p>
      <w:pPr>
        <w:pStyle w:val="FirstParagraph"/>
      </w:pPr>
      <w:r>
        <w:t xml:space="preserve">Use sparingly, for a named finding or a step inside a Heading 2.</w:t>
      </w:r>
    </w:p>
    <w:bookmarkStart w:id="56" w:name="heading-4-is-a-label"/>
    <w:p>
      <w:pPr>
        <w:pStyle w:val="Heading4"/>
      </w:pPr>
      <w:r>
        <w:t xml:space="preserve">HEADING 4 IS A LABEL</w:t>
      </w:r>
    </w:p>
    <w:p>
      <w:pPr>
        <w:pStyle w:val="FirstParagraph"/>
      </w:pPr>
      <w:r>
        <w:t xml:space="preserve">An all-caps label for a short list or a field group. Not a sentence.</w:t>
      </w:r>
    </w:p>
    <w:bookmarkEnd w:id="56"/>
    <w:bookmarkEnd w:id="57"/>
    <w:bookmarkEnd w:id="58"/>
    <w:bookmarkStart w:id="59" w:name="callouts"/>
    <w:p>
      <w:pPr>
        <w:pStyle w:val="Heading2"/>
      </w:pPr>
      <w:r>
        <w:t xml:space="preserve">Callouts</w:t>
      </w:r>
    </w:p>
    <w:p>
      <w:pPr>
        <w:pStyle w:val="BlockText"/>
      </w:pPr>
      <w:r>
        <w:t xml:space="preserve">Blockquote — a quiet aside, a client quote, or context that supports the argument without interrupting it.</w:t>
      </w:r>
    </w:p>
    <w:p>
      <w:pPr>
        <w:pStyle w:val="KeyTakeaway"/>
      </w:pPr>
      <w:r>
        <w:t xml:space="preserve">Key Takeaway — the one sentence you want remembered from this section. At most one per section; more than that and none of them land.</w:t>
      </w:r>
    </w:p>
    <w:p>
      <w:pPr>
        <w:pStyle w:val="CTA"/>
      </w:pPr>
      <w:r>
        <w:t xml:space="preserve">CTA — the single next step you want the client to take.</w:t>
      </w:r>
      <w:r>
        <w:t xml:space="preserve"> </w:t>
      </w:r>
      <w:r>
        <w:rPr>
          <w:b/>
          <w:bCs/>
        </w:rPr>
        <w:t xml:space="preserve">One per document.</w:t>
      </w:r>
      <w:r>
        <w:t xml:space="preserve"> </w:t>
      </w:r>
      <w:r>
        <w:t xml:space="preserve">This is the only place the Action color appears.</w:t>
      </w:r>
    </w:p>
    <w:bookmarkEnd w:id="59"/>
    <w:bookmarkStart w:id="60" w:name="code-paths-and-commands"/>
    <w:p>
      <w:pPr>
        <w:pStyle w:val="Heading2"/>
      </w:pPr>
      <w:r>
        <w:t xml:space="preserve">Code, paths and commands</w:t>
      </w:r>
    </w:p>
    <w:p>
      <w:pPr>
        <w:pStyle w:val="FirstParagraph"/>
      </w:pPr>
      <w:r>
        <w:t xml:space="preserve">Inline, use</w:t>
      </w:r>
      <w:r>
        <w:t xml:space="preserve"> </w:t>
      </w:r>
      <w:r>
        <w:rPr>
          <w:rStyle w:val="VerbatimChar"/>
        </w:rPr>
        <w:t xml:space="preserve">Verbatim</w:t>
      </w:r>
      <w:r>
        <w:t xml:space="preserve"> </w:t>
      </w:r>
      <w:r>
        <w:t xml:space="preserve">for a resource name, a path like</w:t>
      </w:r>
      <w:r>
        <w:t xml:space="preserve"> </w:t>
      </w:r>
      <w:r>
        <w:rPr>
          <w:rStyle w:val="VerbatimChar"/>
        </w:rPr>
        <w:t xml:space="preserve">modules/azure/aks/</w:t>
      </w:r>
      <w:r>
        <w:t xml:space="preserve">, or a flag. For anything longer, use the Source Code block:</w:t>
      </w:r>
    </w:p>
    <w:p>
      <w:pPr>
        <w:pStyle w:val="SourceCode"/>
      </w:pPr>
      <w:r>
        <w:rPr>
          <w:rStyle w:val="VerbatimChar"/>
        </w:rPr>
        <w:t xml:space="preserve"># Every SnowOps change is a reviewed pull request — nothing is clicked by hand.</w:t>
      </w:r>
      <w:r>
        <w:br/>
      </w:r>
      <w:r>
        <w:rPr>
          <w:rStyle w:val="VerbatimChar"/>
        </w:rPr>
        <w:t xml:space="preserve">terraform plan -out=tfplan</w:t>
      </w:r>
      <w:r>
        <w:br/>
      </w:r>
      <w:r>
        <w:rPr>
          <w:rStyle w:val="VerbatimChar"/>
        </w:rPr>
        <w:t xml:space="preserve">conftest test tfplan.json --policy policy/opa/rules</w:t>
      </w:r>
    </w:p>
    <w:bookmarkEnd w:id="60"/>
    <w:bookmarkStart w:id="61" w:name="tables"/>
    <w:p>
      <w:pPr>
        <w:pStyle w:val="Heading2"/>
      </w:pPr>
      <w:r>
        <w:t xml:space="preserve">Tables</w:t>
      </w:r>
    </w:p>
    <w:p>
      <w:pPr>
        <w:pStyle w:val="FirstParagraph"/>
      </w:pPr>
      <w:r>
        <w:t xml:space="preserve">Tables carry findings, scope, and coverage. Header row is trust blue; keep cells short and let the surrounding prose explain.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cnfStyle w:firstRow="1" w:val="100000000000"/>
          <w:tblHeader/>
          <w:tblHeader w:val="on"/>
        </w:trPr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Finding</w:t>
            </w:r>
          </w:p>
        </w:tc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Severity</w:t>
            </w:r>
          </w:p>
        </w:tc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Control</w:t>
            </w:r>
          </w:p>
        </w:tc>
        <w:tc>
          <w:tcPr>
            <w:shd w:val="clear" w:color="auto" w:fill="2B4C7E"/>
            <w:vAlign w:val="center"/>
          </w:tcPr>
          <w:p>
            <w:pPr>
              <w:pStyle w:val="Compact"/>
            </w:pPr>
            <w:r>
              <w:rPr>
                <w:b/>
                <w:color w:val="FFFFFF"/>
              </w:rPr>
              <w:t xml:space="preserve">Fix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Storage account allows public blob access</w:t>
            </w:r>
          </w:p>
        </w:tc>
        <w:tc>
          <w:tcPr/>
          <w:p>
            <w:pPr>
              <w:pStyle w:val="Compact"/>
            </w:pPr>
            <w:r>
              <w:t xml:space="preserve">Critical</w:t>
            </w:r>
          </w:p>
        </w:tc>
        <w:tc>
          <w:tcPr/>
          <w:p>
            <w:pPr>
              <w:pStyle w:val="Compact"/>
            </w:pPr>
            <w:r>
              <w:t xml:space="preserve">CC6.1</w:t>
            </w:r>
          </w:p>
        </w:tc>
        <w:tc>
          <w:tcPr/>
          <w:p>
            <w:pPr>
              <w:pStyle w:val="Compact"/>
            </w:pPr>
            <w:r>
              <w:t xml:space="preserve">Deny via Azure Policy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Break-glass account without MFA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CC6.6</w:t>
            </w:r>
          </w:p>
        </w:tc>
        <w:tc>
          <w:tcPr/>
          <w:p>
            <w:pPr>
              <w:pStyle w:val="Compact"/>
            </w:pPr>
            <w:r>
              <w:t xml:space="preserve">Conditional Access + PIM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infrastructure state locking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CC8.1</w:t>
            </w:r>
          </w:p>
        </w:tc>
        <w:tc>
          <w:tcPr/>
          <w:p>
            <w:pPr>
              <w:pStyle w:val="Compact"/>
            </w:pPr>
            <w:r>
              <w:t xml:space="preserve">Blob-lease locking</w:t>
            </w:r>
          </w:p>
        </w:tc>
      </w:tr>
    </w:tbl>
    <w:p>
      <w:pPr>
        <w:pStyle w:val="BodyText"/>
      </w:pPr>
      <w:r>
        <w:t xml:space="preserve">Table caption: findings from a Discovery Audit, illustrative only.</w:t>
      </w:r>
    </w:p>
    <w:bookmarkEnd w:id="61"/>
    <w:bookmarkEnd w:id="62"/>
    <w:bookmarkStart w:id="67" w:name="document-scaffolds"/>
    <w:p>
      <w:pPr>
        <w:pStyle w:val="Heading1"/>
      </w:pPr>
      <w:r>
        <w:t xml:space="preserve">Document scaffolds</w:t>
      </w:r>
    </w:p>
    <w:p>
      <w:pPr>
        <w:pStyle w:val="FirstParagraph"/>
      </w:pPr>
      <w:r>
        <w:t xml:space="preserve">Delete the ones you don’t need.</w:t>
      </w:r>
    </w:p>
    <w:bookmarkStart w:id="64" w:name="scaffold-discovery-audit-report-pa08"/>
    <w:p>
      <w:pPr>
        <w:pStyle w:val="Heading2"/>
      </w:pPr>
      <w:r>
        <w:t xml:space="preserve">Scaffold — Discovery Audit report (PA08)</w:t>
      </w:r>
    </w:p>
    <w:bookmarkStart w:id="63" w:name="Xcddda986eaedc183fac2da78e15fe9b62070f7c"/>
    <w:p>
      <w:pPr>
        <w:pStyle w:val="Heading4"/>
      </w:pPr>
      <w:r>
        <w:t xml:space="preserve">THEME ONLY — GENERATED BY</w:t>
      </w:r>
      <w:r>
        <w:t xml:space="preserve"> </w:t>
      </w:r>
      <w:r>
        <w:rPr>
          <w:rStyle w:val="VerbatimChar"/>
        </w:rPr>
        <w:t xml:space="preserve">apps/discovery-auditor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Executive summary</w:t>
      </w:r>
      <w:r>
        <w:t xml:space="preserve"> </w:t>
      </w:r>
      <w:r>
        <w:t xml:space="preserve">— what we found, in a language a CTO forwards to a CEO.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Scope and method</w:t>
      </w:r>
      <w:r>
        <w:t xml:space="preserve"> </w:t>
      </w:r>
      <w:r>
        <w:t xml:space="preserve">— what we read, what we did not touch, over what window. Read-only access, always.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Findings</w:t>
      </w:r>
      <w:r>
        <w:t xml:space="preserve"> </w:t>
      </w:r>
      <w:r>
        <w:t xml:space="preserve">— one table, sorted by severity, each mapped to a control.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What this means for your audit</w:t>
      </w:r>
      <w:r>
        <w:t xml:space="preserve"> </w:t>
      </w:r>
      <w:r>
        <w:t xml:space="preserve">— honest posture, no certification promises.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Remediation roadmap</w:t>
      </w:r>
      <w:r>
        <w:t xml:space="preserve"> </w:t>
      </w:r>
      <w:r>
        <w:t xml:space="preserve">— sequenced, with effort. What is fixable in sprint one.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Next step</w:t>
      </w:r>
      <w:r>
        <w:t xml:space="preserve"> </w:t>
      </w:r>
      <w:r>
        <w:t xml:space="preserve">— the single CTA.</w:t>
      </w:r>
    </w:p>
    <w:bookmarkEnd w:id="63"/>
    <w:bookmarkEnd w:id="64"/>
    <w:bookmarkStart w:id="65" w:name="scaffold-proposal-sow-pa10"/>
    <w:p>
      <w:pPr>
        <w:pStyle w:val="Heading2"/>
      </w:pPr>
      <w:r>
        <w:t xml:space="preserve">Scaffold — Proposal / SOW (PA10)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What you told us</w:t>
      </w:r>
      <w:r>
        <w:t xml:space="preserve"> </w:t>
      </w:r>
      <w:r>
        <w:t xml:space="preserve">— their words, played back. Earns the right to the rest.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What we found</w:t>
      </w:r>
      <w:r>
        <w:t xml:space="preserve"> </w:t>
      </w:r>
      <w:r>
        <w:t xml:space="preserve">— the audit, compressed to its three load-bearing findings.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Proposed scope</w:t>
      </w:r>
      <w:r>
        <w:t xml:space="preserve"> </w:t>
      </w:r>
      <w:r>
        <w:t xml:space="preserve">— deliverables, by milestone. Explicit non-goals.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How we work</w:t>
      </w:r>
      <w:r>
        <w:t xml:space="preserve"> </w:t>
      </w:r>
      <w:r>
        <w:t xml:space="preserve">— GitOps, least privilege, evidence as code, everything reviewed.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Timeline and milestones</w:t>
      </w:r>
      <w:r>
        <w:t xml:space="preserve"> </w:t>
      </w:r>
      <w:r>
        <w:t xml:space="preserve">— what ships, when, and what “done” means.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Commercials</w:t>
      </w:r>
      <w:r>
        <w:t xml:space="preserve"> </w:t>
      </w:r>
      <w:r>
        <w:t xml:space="preserve">— structure only until finalized ⟨Sagar⟩.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Assumptions and dependencies</w:t>
      </w:r>
      <w:r>
        <w:t xml:space="preserve"> </w:t>
      </w:r>
      <w:r>
        <w:t xml:space="preserve">— what we need from ⟨Client⟩ to hit the dates.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Next step</w:t>
      </w:r>
      <w:r>
        <w:t xml:space="preserve"> </w:t>
      </w:r>
      <w:r>
        <w:t xml:space="preserve">— the single CTA.</w:t>
      </w:r>
    </w:p>
    <w:bookmarkEnd w:id="65"/>
    <w:bookmarkStart w:id="66" w:name="scaffold-milestone-handover-guide-pa19"/>
    <w:p>
      <w:pPr>
        <w:pStyle w:val="Heading2"/>
      </w:pPr>
      <w:r>
        <w:t xml:space="preserve">Scaffold — Milestone handover guide (PA19)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What shipped</w:t>
      </w:r>
      <w:r>
        <w:t xml:space="preserve"> </w:t>
      </w:r>
      <w:r>
        <w:t xml:space="preserve">— the milestone, in client language.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Architecture</w:t>
      </w:r>
      <w:r>
        <w:t xml:space="preserve"> </w:t>
      </w:r>
      <w:r>
        <w:t xml:space="preserve">— the diagram, plus what each piece does and why.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How to operate it</w:t>
      </w:r>
      <w:r>
        <w:t xml:space="preserve"> </w:t>
      </w:r>
      <w:r>
        <w:t xml:space="preserve">— day-to-day tasks, each linked to a runbook.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How to change it</w:t>
      </w:r>
      <w:r>
        <w:t xml:space="preserve"> </w:t>
      </w:r>
      <w:r>
        <w:t xml:space="preserve">— the PR path. Nothing is clicked by hand.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What to watch</w:t>
      </w:r>
      <w:r>
        <w:t xml:space="preserve"> </w:t>
      </w:r>
      <w:r>
        <w:t xml:space="preserve">— alerts, dashboards, thresholds, who gets paged.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Failure modes and recovery</w:t>
      </w:r>
      <w:r>
        <w:t xml:space="preserve"> </w:t>
      </w:r>
      <w:r>
        <w:t xml:space="preserve">— what breaks, what it looks like, what to do.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What’s next</w:t>
      </w:r>
      <w:r>
        <w:t xml:space="preserve"> </w:t>
      </w:r>
      <w:r>
        <w:t xml:space="preserve">— the following milestone.</w:t>
      </w:r>
    </w:p>
    <w:bookmarkEnd w:id="66"/>
    <w:bookmarkEnd w:id="67"/>
    <w:bookmarkStart w:id="68" w:name="before-you-send"/>
    <w:p>
      <w:pPr>
        <w:pStyle w:val="Heading1"/>
      </w:pPr>
      <w:r>
        <w:t xml:space="preserve">Before you send</w:t>
      </w:r>
    </w:p>
    <w:p>
      <w:pPr>
        <w:pStyle w:val="Compact"/>
        <w:numPr>
          <w:ilvl w:val="0"/>
          <w:numId w:val="1005"/>
        </w:numPr>
      </w:pPr>
      <w:r>
        <w:t xml:space="preserve">Every ⟨placeholder⟩ replaced — search for</w:t>
      </w:r>
      <w:r>
        <w:t xml:space="preserve"> </w:t>
      </w:r>
      <w:r>
        <w:rPr>
          <w:rStyle w:val="VerbatimChar"/>
        </w:rPr>
        <w:t xml:space="preserve">⟨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Every compliance/capability claim is real, or tagged</w:t>
      </w:r>
      <w:r>
        <w:t xml:space="preserve"> </w:t>
      </w:r>
      <w:r>
        <w:rPr>
          <w:rStyle w:val="Roadmap"/>
        </w:rPr>
        <w:t xml:space="preserve">(roadmap)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Nidhi signed off, if any compliance claim is made.</w:t>
      </w:r>
    </w:p>
    <w:p>
      <w:pPr>
        <w:pStyle w:val="Compact"/>
        <w:numPr>
          <w:ilvl w:val="0"/>
          <w:numId w:val="1008"/>
        </w:numPr>
      </w:pPr>
      <w:r>
        <w:t xml:space="preserve">No dollar figures unless Sagar finalized them.</w:t>
      </w:r>
    </w:p>
    <w:p>
      <w:pPr>
        <w:pStyle w:val="Compact"/>
        <w:numPr>
          <w:ilvl w:val="0"/>
          <w:numId w:val="1009"/>
        </w:numPr>
      </w:pPr>
      <w:r>
        <w:t xml:space="preserve">Exactly one CTA.</w:t>
      </w:r>
    </w:p>
    <w:p>
      <w:pPr>
        <w:pStyle w:val="Compact"/>
        <w:numPr>
          <w:ilvl w:val="0"/>
          <w:numId w:val="1010"/>
        </w:numPr>
      </w:pPr>
      <w:r>
        <w:t xml:space="preserve">Client name spelled correctly, in every instance.</w:t>
      </w:r>
    </w:p>
    <w:p>
      <w:pPr>
        <w:pStyle w:val="Compact"/>
        <w:numPr>
          <w:ilvl w:val="0"/>
          <w:numId w:val="1011"/>
        </w:numPr>
      </w:pPr>
      <w:r>
        <w:t xml:space="preserve">Exported to PDF.</w:t>
      </w:r>
    </w:p>
    <w:bookmarkEnd w:id="68"/>
    <w:sectPr>
      <w:headerReference r:id="rId40" w:type="default"/>
      <w:footerReference r:id="rId41" w:type="default"/>
      <w:footnotePr>
        <w:numRestart w:val="eachSect"/>
      </w:footnotePr>
      <w:pgSz w:h="15840" w:w="12240"/>
      <w:pgMar w:bottom="1440" w:footer="600" w:gutter="0" w:header="60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>
  <w:p>
    <w:pPr>
      <w:pStyle w:val="Footer"/>
      <w:pBdr>
        <w:top w:val="single" w:sz="4" w:space="6" w:color="E7E4DC"/>
      </w:pBdr>
    </w:pPr>
    <w:r>
      <w:t xml:space="preserve">SnowOps — prepared for the named recipient only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>
  <w:p>
    <w:pPr>
      <w:pStyle w:val="Header"/>
    </w:pPr>
    <w:r>
      <w:drawing>
        <wp:inline distT="0" distB="0" distL="0" distR="0">
          <wp:extent cx="155448" cy="155448"/>
          <wp:effectExtent l="0" t="0" r="0" b="0"/>
          <wp:docPr id="101" name="SnowOps mark" descr="SnowOps Signet mark"/>
          <wp:cNvGraphicFramePr/>
          <a:graphic>
            <a:graphicData uri="http://schemas.openxmlformats.org/drawingml/2006/picture">
              <pic:pic>
                <pic:nvPicPr>
                  <pic:cNvPr id="101" name="mark.png"/>
                  <pic:cNvPicPr/>
                </pic:nvPicPr>
                <pic:blipFill>
                  <a:blip r:embed="rId100"/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B1C1A"/>
        <w:sz w:val="18"/>
      </w:rPr>
      <w:t xml:space="preserve"> Snow</w:t>
    </w:r>
    <w:r>
      <w:rPr>
        <w:b/>
        <w:color w:val="2B4C7E"/>
        <w:sz w:val="18"/>
      </w:rPr>
      <w:t>Ops</w:t>
    </w:r>
    <w:r>
      <w:tab/>
      <w:t>Confidential</w:t>
    </w:r>
  </w:p>
  <w:p>
    <w:pPr>
      <w:pStyle w:val="Header"/>
      <w:pBdr>
        <w:bottom w:val="single" w:sz="4" w:space="1" w:color="E7E4DC"/>
      </w:pBdr>
      <w:spacing w:after="120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BM Plex Sans" w:cs="IBM Plex Sans" w:hAnsi="IBM Plex Sans"/>
        <w:color w:val="1B1C1A"/>
        <w:sz w:val="21"/>
        <w:szCs w:val="21"/>
        <w:lang w:bidi="ar-SA" w:eastAsia="zh-CN" w:val="en-US"/>
      </w:rPr>
    </w:rPrDefault>
    <w:pPrDefault>
      <w:pPr>
        <w:spacing w:after="160" w:line="276" w:lineRule="auto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60" w:before="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60" w:before="0" w:line="240" w:lineRule="auto"/>
      <w:contextualSpacing/>
      <w:jc w:val="left"/>
    </w:pPr>
    <w:rPr>
      <w:rFonts w:ascii="IBM Plex Sans" w:cs="IBM Plex Sans" w:hAnsi="IBM Plex Sans"/>
      <w:b/>
      <w:color w:val="1B1C1A"/>
      <w:spacing w:val="-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="IBM Plex Sans" w:cs="IBM Plex Sans" w:hAnsi="IBM Plex Sans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spacing w:after="240" w:before="0"/>
      <w:jc w:val="left"/>
    </w:pPr>
    <w:rPr>
      <w:color w:val="6C6E67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ascii="IBM Plex Sans" w:cs="IBM Plex Sans" w:hAnsi="IBM Plex Sans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  <w:spacing w:after="60" w:before="0"/>
      <w:jc w:val="left"/>
    </w:pPr>
    <w:rPr>
      <w:b w:val="0"/>
      <w:color w:val="6C6E67"/>
      <w:sz w:val="20"/>
      <w:szCs w:val="20"/>
    </w:rPr>
  </w:style>
  <w:style w:styleId="Date" w:type="paragraph">
    <w:name w:val="Date"/>
    <w:basedOn w:val="Title"/>
    <w:next w:val="BodyText"/>
    <w:qFormat/>
    <w:pPr>
      <w:keepNext/>
      <w:keepLines/>
      <w:spacing w:after="60" w:before="0"/>
      <w:jc w:val="left"/>
    </w:pPr>
    <w:rPr>
      <w:b w:val="0"/>
      <w:color w:val="6C6E67"/>
      <w:sz w:val="20"/>
      <w:szCs w:val="20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pBdr>
        <w:bottom w:color="E7E4DC" w:space="6" w:sz="6" w:val="single"/>
      </w:pBdr>
      <w:spacing w:after="160" w:before="400"/>
      <w:outlineLvl w:val="0"/>
    </w:pPr>
    <w:rPr>
      <w:rFonts w:ascii="IBM Plex Sans" w:cs="IBM Plex Sans" w:hAnsi="IBM Plex Sans"/>
      <w:b/>
      <w:color w:val="2B4C7E"/>
      <w:sz w:val="34"/>
      <w:szCs w:val="34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100" w:before="280"/>
      <w:outlineLvl w:val="1"/>
    </w:pPr>
    <w:rPr>
      <w:rFonts w:ascii="IBM Plex Sans" w:cs="IBM Plex Sans" w:hAnsi="IBM Plex Sans"/>
      <w:b/>
      <w:color w:val="2B4C7E"/>
      <w:sz w:val="26"/>
      <w:szCs w:val="26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220"/>
      <w:outlineLvl w:val="2"/>
    </w:pPr>
    <w:rPr>
      <w:rFonts w:ascii="IBM Plex Sans" w:cs="IBM Plex Sans" w:hAnsi="IBM Plex Sans"/>
      <w:b/>
      <w:color w:val="1B1C1A"/>
      <w:sz w:val="22"/>
      <w:szCs w:val="22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60" w:before="200"/>
      <w:outlineLvl w:val="3"/>
    </w:pPr>
    <w:rPr>
      <w:rFonts w:ascii="IBM Plex Sans" w:cs="IBM Plex Sans" w:hAnsi="IBM Plex Sans"/>
      <w:b/>
      <w:caps/>
      <w:color w:val="6C6E67"/>
      <w:spacing w:val="20"/>
      <w:sz w:val="18"/>
      <w:szCs w:val="18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ascii="IBM Plex Sans" w:cs="IBM Plex Sans" w:hAnsi="IBM Plex Sans"/>
      <w:color w:val="2B4C7E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ascii="IBM Plex Sans" w:cs="IBM Plex Sans" w:hAnsi="IBM Plex Sans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ascii="IBM Plex Sans" w:cs="IBM Plex Sans" w:hAnsi="IBM Plex Sans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ascii="IBM Plex Sans" w:cs="IBM Plex Sans" w:hAnsi="IBM Plex Sans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ascii="IBM Plex Sans" w:cs="IBM Plex Sans" w:hAnsi="IBM Plex Sans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="IBM Plex Sans" w:cs="IBM Plex Sans" w:hAnsi="IBM Plex Sans"/>
      <w:color w:val="2B4C7E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="IBM Plex Sans" w:cs="IBM Plex Sans" w:hAnsi="IBM Plex Sans"/>
      <w:color w:val="2B4C7E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ascii="IBM Plex Sans" w:cs="IBM Plex Sans" w:hAnsi="IBM Plex Sans"/>
      <w:color w:val="2B4C7E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ascii="IBM Plex Sans" w:cs="IBM Plex Sans" w:hAnsi="IBM Plex Sans"/>
      <w:i/>
      <w:iCs/>
      <w:color w:val="2B4C7E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ascii="IBM Plex Sans" w:cs="IBM Plex Sans" w:hAnsi="IBM Plex Sans"/>
      <w:color w:val="2B4C7E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ascii="IBM Plex Sans" w:cs="IBM Plex Sans" w:hAnsi="IBM Plex Sans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ascii="IBM Plex Sans" w:cs="IBM Plex Sans" w:hAnsi="IBM Plex Sans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ascii="IBM Plex Sans" w:cs="IBM Plex Sans" w:hAnsi="IBM Plex Sans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ascii="IBM Plex Sans" w:cs="IBM Plex Sans" w:hAnsi="IBM Plex Sans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pBdr>
        <w:top w:color="E7E4DC" w:space="8" w:sz="2" w:val="single"/>
        <w:left w:color="2B4C7E" w:space="8" w:sz="18" w:val="single"/>
        <w:bottom w:color="E7E4DC" w:space="8" w:sz="2" w:val="single"/>
        <w:right w:color="E7E4DC" w:space="8" w:sz="2" w:val="single"/>
      </w:pBdr>
      <w:shd w:color="auto" w:fill="FBFAF6" w:val="clear"/>
      <w:spacing w:after="200" w:before="200"/>
      <w:ind w:left="0" w:right="0"/>
    </w:pPr>
    <w:rPr>
      <w:color w:val="1B1C1A"/>
      <w:sz w:val="20"/>
      <w:szCs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qFormat/>
    <w:pPr>
      <w:spacing w:after="40" w:before="40"/>
    </w:pPr>
    <w:rPr>
      <w:sz w:val="19"/>
      <w:szCs w:val="19"/>
    </w:rPr>
    <w:tblPr>
      <w:tblInd w:type="dxa" w:w="0"/>
      <w:tblBorders>
        <w:top w:color="E7E4DC" w:sz="4" w:val="single"/>
        <w:left w:color="auto" w:sz="0" w:val="none"/>
        <w:bottom w:color="E7E4DC" w:sz="4" w:val="single"/>
        <w:right w:color="auto" w:sz="0" w:val="none"/>
        <w:insideH w:color="E7E4DC" w:sz="4" w:val="single"/>
        <w:insideV w:color="auto" w:sz="0" w:val="none"/>
      </w:tblBorders>
      <w:tblCellMar>
        <w:top w:type="dxa" w:w="80"/>
        <w:left w:type="dxa" w:w="120"/>
        <w:bottom w:type="dxa" w:w="80"/>
        <w:right w:type="dxa" w:w="120"/>
      </w:tblCellMar>
    </w:tblPr>
    <w:tblStylePr w:type="firstRow">
      <w:rPr>
        <w:b/>
        <w:color w:val="FFFFFF"/>
      </w:rPr>
      <w:tcPr>
        <w:shd w:color="auto" w:fill="2B4C7E" w:val="clear"/>
        <w:vAlign w:val="center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  <w:color w:val="6C6E67"/>
      <w:sz w:val="18"/>
      <w:szCs w:val="18"/>
    </w:rPr>
  </w:style>
  <w:style w:customStyle="1" w:styleId="TableCaption" w:type="paragraph">
    <w:name w:val="Table Caption"/>
    <w:basedOn w:val="Caption"/>
    <w:pPr>
      <w:spacing w:after="120" w:before="0"/>
    </w:pPr>
    <w:rPr>
      <w:i/>
      <w:color w:val="6C6E67"/>
      <w:sz w:val="18"/>
      <w:szCs w:val="18"/>
    </w:rPr>
  </w:style>
  <w:style w:customStyle="1" w:styleId="ImageCaption" w:type="paragraph">
    <w:name w:val="Image Caption"/>
    <w:basedOn w:val="Caption"/>
    <w:pPr>
      <w:spacing w:after="120" w:before="0"/>
    </w:pPr>
    <w:rPr>
      <w:i/>
      <w:color w:val="6C6E67"/>
      <w:sz w:val="18"/>
      <w:szCs w:val="18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IBM Plex Mono" w:cs="IBM Plex Mono" w:hAnsi="IBM Plex Mono"/>
      <w:color w:val="1B1C1A"/>
      <w:shd w:color="auto" w:fill="F1EFE8" w:val="clear"/>
      <w:sz w:val="18"/>
      <w:szCs w:val="18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val="2B4C7E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qFormat/>
    <w:pPr>
      <w:pBdr>
        <w:top w:color="E7E4DC" w:space="6" w:sz="4" w:val="single"/>
        <w:left w:color="E7E4DC" w:space="6" w:sz="4" w:val="single"/>
        <w:bottom w:color="E7E4DC" w:space="6" w:sz="4" w:val="single"/>
        <w:right w:color="E7E4DC" w:space="6" w:sz="4" w:val="single"/>
      </w:pBdr>
      <w:shd w:color="auto" w:fill="FBFAF6" w:val="clear"/>
      <w:spacing w:after="0" w:before="0" w:line="240" w:lineRule="auto"/>
      <w:contextualSpacing/>
    </w:pPr>
    <w:rPr>
      <w:rFonts w:ascii="IBM Plex Mono" w:cs="IBM Plex Mono" w:hAnsi="IBM Plex Mono"/>
      <w:color w:val="1B1C1A"/>
      <w:sz w:val="17"/>
      <w:szCs w:val="17"/>
    </w:rPr>
  </w:style>
  <w:style w:customStyle="1" w:styleId="Lede" w:type="paragraph">
    <w:name w:val="Lede"/>
    <w:basedOn w:val="BodyText"/>
    <w:next w:val="BodyText"/>
    <w:qFormat/>
    <w:pPr>
      <w:spacing w:after="240" w:before="0"/>
    </w:pPr>
    <w:rPr>
      <w:color w:val="6C6E67"/>
      <w:sz w:val="24"/>
      <w:szCs w:val="24"/>
    </w:rPr>
  </w:style>
  <w:style w:customStyle="1" w:styleId="KeyTakeaway" w:type="paragraph">
    <w:name w:val="Key Takeaway"/>
    <w:basedOn w:val="BodyText"/>
    <w:next w:val="BodyText"/>
    <w:qFormat/>
    <w:pPr>
      <w:pBdr>
        <w:left w:color="2B4C7E" w:space="8" w:sz="18" w:val="single"/>
      </w:pBdr>
      <w:shd w:color="auto" w:fill="FBFAF6" w:val="clear"/>
      <w:spacing w:after="200" w:before="200"/>
    </w:pPr>
    <w:rPr>
      <w:b/>
      <w:color w:val="1B1C1A"/>
      <w:sz w:val="22"/>
      <w:szCs w:val="22"/>
    </w:rPr>
  </w:style>
  <w:style w:customStyle="1" w:styleId="CTA" w:type="paragraph">
    <w:name w:val="CTA"/>
    <w:basedOn w:val="BodyText"/>
    <w:next w:val="BodyText"/>
    <w:qFormat/>
    <w:pPr>
      <w:pBdr>
        <w:left w:color="D9552F" w:space="8" w:sz="18" w:val="single"/>
      </w:pBdr>
      <w:shd w:color="auto" w:fill="FDF0EC" w:val="clear"/>
      <w:spacing w:after="240" w:before="240"/>
    </w:pPr>
    <w:rPr>
      <w:b/>
      <w:color w:val="1B1C1A"/>
      <w:sz w:val="22"/>
      <w:szCs w:val="22"/>
    </w:rPr>
  </w:style>
  <w:style w:customStyle="1" w:styleId="Eyebrow" w:type="paragraph">
    <w:name w:val="Eyebrow"/>
    <w:basedOn w:val="Normal"/>
    <w:next w:val="Title"/>
    <w:qFormat/>
    <w:pPr>
      <w:spacing w:after="80" w:before="0"/>
    </w:pPr>
    <w:rPr>
      <w:rFonts w:ascii="IBM Plex Mono" w:cs="IBM Plex Mono" w:hAnsi="IBM Plex Mono"/>
      <w:caps/>
      <w:color w:val="6C6E67"/>
      <w:spacing w:val="40"/>
      <w:sz w:val="17"/>
      <w:szCs w:val="17"/>
    </w:rPr>
  </w:style>
  <w:style w:customStyle="1" w:styleId="Pass" w:type="character">
    <w:name w:val="Pass"/>
    <w:basedOn w:val="DefaultParagraphFont"/>
    <w:qFormat/>
    <w:rPr>
      <w:b/>
      <w:color w:val="1F7A5A"/>
    </w:rPr>
  </w:style>
  <w:style w:customStyle="1" w:styleId="Warn" w:type="character">
    <w:name w:val="Warn"/>
    <w:basedOn w:val="DefaultParagraphFont"/>
    <w:qFormat/>
    <w:rPr>
      <w:b/>
      <w:color w:val="B07D2B"/>
    </w:rPr>
  </w:style>
  <w:style w:customStyle="1" w:styleId="Crit" w:type="character">
    <w:name w:val="Crit"/>
    <w:basedOn w:val="DefaultParagraphFont"/>
    <w:qFormat/>
    <w:rPr>
      <w:b/>
      <w:color w:val="9B2D24"/>
    </w:rPr>
  </w:style>
  <w:style w:customStyle="1" w:styleId="Roadmap" w:type="character">
    <w:name w:val="Roadmap"/>
    <w:basedOn w:val="DefaultParagraphFont"/>
    <w:qFormat/>
    <w:rPr>
      <w:i/>
      <w:color w:val="6C6E67"/>
    </w:rPr>
  </w:style>
  <w:style w:styleId="Header" w:type="paragraph">
    <w:name w:val="header"/>
    <w:basedOn w:val="Normal"/>
    <w:qFormat/>
    <w:pPr>
      <w:tabs>
        <w:tab w:pos="4680" w:val="center"/>
        <w:tab w:pos="9360" w:val="right"/>
      </w:tabs>
      <w:spacing w:after="0" w:before="0"/>
    </w:pPr>
    <w:rPr>
      <w:color w:val="6C6E67"/>
      <w:sz w:val="17"/>
      <w:szCs w:val="17"/>
    </w:rPr>
  </w:style>
  <w:style w:styleId="Footer" w:type="paragraph">
    <w:name w:val="footer"/>
    <w:basedOn w:val="Normal"/>
    <w:qFormat/>
    <w:pPr>
      <w:tabs>
        <w:tab w:pos="4680" w:val="center"/>
        <w:tab w:pos="9360" w:val="right"/>
      </w:tabs>
      <w:spacing w:after="0" w:before="0"/>
    </w:pPr>
    <w:rPr>
      <w:rFonts w:ascii="IBM Plex Mono" w:cs="IBM Plex Mono" w:hAnsi="IBM Plex Mono"/>
      <w:color w:val="6C6E67"/>
      <w:sz w:val="16"/>
      <w:szCs w:val="16"/>
    </w:rPr>
  </w:style>
  <w:style w:type="paragraph" w:customStyle="1" w:styleId="KeyTakeaway">
    <w:name w:val="KeyTakeaway"/>
    <w:basedOn w:val="BodyText"/>
    <w:qFormat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49" Target="numbering.xml" /><Relationship Type="http://schemas.openxmlformats.org/officeDocument/2006/relationships/styles" Id="rId48" Target="styles.xml" /><Relationship Type="http://schemas.openxmlformats.org/officeDocument/2006/relationships/settings" Id="rId47" Target="settings.xml" /><Relationship Type="http://schemas.openxmlformats.org/officeDocument/2006/relationships/webSettings" Id="rId46" Target="webSettings.xml" /><Relationship Type="http://schemas.openxmlformats.org/officeDocument/2006/relationships/fontTable" Id="rId45" Target="fontTable.xml" /><Relationship Type="http://schemas.openxmlformats.org/officeDocument/2006/relationships/theme" Id="rId44" Target="theme/theme1.xml" /><Relationship Type="http://schemas.openxmlformats.org/officeDocument/2006/relationships/footnotes" Id="rId43" Target="footnotes.xml" /><Relationship Type="http://schemas.openxmlformats.org/officeDocument/2006/relationships/comments" Id="rId42" Target="comments.xml" /><Relationship Id="rId40" Target="header1.xml" Type="http://schemas.openxmlformats.org/officeDocument/2006/relationships/header" /><Relationship Id="rId41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?><Relationships xmlns="http://schemas.openxmlformats.org/package/2006/relationships"><Relationship Id="rId100" Type="http://schemas.openxmlformats.org/officeDocument/2006/relationships/image" Target="media/mark.png" /></Relationships>
</file>

<file path=word/theme/theme1.xml><?xml version="1.0" encoding="utf-8"?>
<a:theme xmlns:a="http://schemas.openxmlformats.org/drawingml/2006/main" name="Office Theme">
  <a:themeElements>
    <a:clrScheme name="SnowOps Signal">
      <a:dk1>
        <a:srgbClr val="1B1C1A"/>
      </a:dk1>
      <a:lt1>
        <a:srgbClr val="FFFFFF"/>
      </a:lt1>
      <a:dk2>
        <a:srgbClr val="141310"/>
      </a:dk2>
      <a:lt2>
        <a:srgbClr val="FBFAF6"/>
      </a:lt2>
      <a:accent1>
        <a:srgbClr val="2B4C7E"/>
      </a:accent1>
      <a:accent2>
        <a:srgbClr val="EE6C4D"/>
      </a:accent2>
      <a:accent3>
        <a:srgbClr val="1F7A5A"/>
      </a:accent3>
      <a:accent4>
        <a:srgbClr val="B07D2B"/>
      </a:accent4>
      <a:accent5>
        <a:srgbClr val="9B2D24"/>
      </a:accent5>
      <a:accent6>
        <a:srgbClr val="6C6E67"/>
      </a:accent6>
      <a:hlink>
        <a:srgbClr val="2B4C7E"/>
      </a:hlink>
      <a:folHlink>
        <a:srgbClr val="3D659E"/>
      </a:folHlink>
    </a:clrScheme>
    <a:fontScheme name="Office">
      <a:majorFont>
        <a:latin typeface="IBM Plex Sans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IBM Plex San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Master</dc:title>
  <dc:creator>SnowOps · brand system “Signal”</dc:creator>
  <cp:keywords/>
  <dcterms:created xsi:type="dcterms:W3CDTF">2026-07-17T10:09:46Z</dcterms:created>
  <dcterms:modified xsi:type="dcterms:W3CDTF">2026-07-17T10:09:46Z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⟨Date⟩</vt:lpwstr>
  </property>
  <property fmtid="{D5CDD505-2E9C-101B-9397-08002B2CF9AE}" pid="3" name="subtitle">
    <vt:lpwstr>The SnowOps template for reports, proposals and handover guides</vt:lpwstr>
  </property>
</Properties>
</file>